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3427"/>
        <w:gridCol w:w="5093"/>
      </w:tblGrid>
      <w:tr w:rsidR="00CB1AB5" w:rsidTr="00EF00A4">
        <w:trPr>
          <w:jc w:val="center"/>
        </w:trPr>
        <w:tc>
          <w:tcPr>
            <w:tcW w:w="5587" w:type="dxa"/>
            <w:gridSpan w:val="2"/>
            <w:shd w:val="clear" w:color="auto" w:fill="FFFFFF"/>
          </w:tcPr>
          <w:p w:rsidR="00CB1AB5" w:rsidRDefault="00CB1AB5">
            <w:pPr>
              <w:rPr>
                <w:rFonts w:ascii="Arial" w:hAnsi="Arial" w:cs="Arial"/>
              </w:rPr>
            </w:pPr>
          </w:p>
          <w:p w:rsidR="00CB1AB5" w:rsidRDefault="00CB1AB5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16 de Junio de 2017</w:t>
            </w:r>
          </w:p>
          <w:p w:rsidR="00CB1AB5" w:rsidRDefault="00CB1AB5">
            <w:pPr>
              <w:ind w:left="284"/>
              <w:rPr>
                <w:rFonts w:ascii="Arial" w:hAnsi="Arial" w:cs="Arial"/>
              </w:rPr>
            </w:pPr>
          </w:p>
          <w:p w:rsidR="00CB1AB5" w:rsidRDefault="00CB1AB5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</w:p>
          <w:p w:rsidR="00CB1AB5" w:rsidRDefault="00CB1AB5">
            <w:pPr>
              <w:ind w:left="284"/>
              <w:rPr>
                <w:rFonts w:ascii="Arial" w:hAnsi="Arial" w:cs="Arial"/>
                <w:b/>
                <w:bCs/>
                <w:color w:val="7F706E"/>
                <w:sz w:val="50"/>
                <w:szCs w:val="50"/>
              </w:rPr>
            </w:pPr>
            <w:r>
              <w:rPr>
                <w:rFonts w:ascii="Arial" w:hAnsi="Arial" w:cs="Arial"/>
                <w:b/>
                <w:bCs/>
                <w:color w:val="7F706E"/>
                <w:sz w:val="50"/>
                <w:szCs w:val="50"/>
              </w:rPr>
              <w:t xml:space="preserve">Primer </w:t>
            </w:r>
            <w:proofErr w:type="spellStart"/>
            <w:r>
              <w:rPr>
                <w:rFonts w:ascii="Arial" w:hAnsi="Arial" w:cs="Arial"/>
                <w:b/>
                <w:bCs/>
                <w:color w:val="7F706E"/>
                <w:sz w:val="50"/>
                <w:szCs w:val="50"/>
              </w:rPr>
              <w:t>Valtra</w:t>
            </w:r>
            <w:proofErr w:type="spellEnd"/>
            <w:r>
              <w:rPr>
                <w:rFonts w:ascii="Arial" w:hAnsi="Arial" w:cs="Arial"/>
                <w:b/>
                <w:bCs/>
                <w:color w:val="7F706E"/>
                <w:sz w:val="50"/>
                <w:szCs w:val="50"/>
              </w:rPr>
              <w:t xml:space="preserve"> BT producido en General Rodríguez</w:t>
            </w:r>
          </w:p>
          <w:p w:rsidR="00CB1AB5" w:rsidRDefault="00CB1AB5">
            <w:pPr>
              <w:ind w:left="284"/>
              <w:rPr>
                <w:rFonts w:ascii="Arial" w:hAnsi="Arial" w:cs="Arial"/>
                <w:b/>
                <w:bCs/>
                <w:color w:val="7F706E"/>
                <w:sz w:val="50"/>
                <w:szCs w:val="50"/>
              </w:rPr>
            </w:pPr>
          </w:p>
        </w:tc>
        <w:tc>
          <w:tcPr>
            <w:tcW w:w="5093" w:type="dxa"/>
            <w:shd w:val="clear" w:color="auto" w:fill="FFFFFF"/>
            <w:vAlign w:val="bottom"/>
            <w:hideMark/>
          </w:tcPr>
          <w:p w:rsidR="00CB1AB5" w:rsidRDefault="00CB1AB5">
            <w:pPr>
              <w:ind w:left="284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57400" cy="1733550"/>
                  <wp:effectExtent l="19050" t="0" r="0" b="0"/>
                  <wp:docPr id="1" name="Imagen 2" descr="cid:image002.png@01D19657.142BF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id:image002.png@01D19657.142BF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AB5" w:rsidTr="00EF00A4">
        <w:trPr>
          <w:jc w:val="center"/>
        </w:trPr>
        <w:tc>
          <w:tcPr>
            <w:tcW w:w="10680" w:type="dxa"/>
            <w:gridSpan w:val="3"/>
            <w:shd w:val="clear" w:color="auto" w:fill="FFFFFF"/>
          </w:tcPr>
          <w:p w:rsidR="00CB1AB5" w:rsidRDefault="00CB1AB5" w:rsidP="00CB1AB5">
            <w:pPr>
              <w:spacing w:line="360" w:lineRule="auto"/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informamos que hoy hemos producido el primer tractor </w:t>
            </w:r>
            <w:proofErr w:type="spellStart"/>
            <w:r>
              <w:rPr>
                <w:rFonts w:ascii="Arial" w:hAnsi="Arial" w:cs="Arial"/>
              </w:rPr>
              <w:t>Valtra</w:t>
            </w:r>
            <w:proofErr w:type="spellEnd"/>
            <w:r>
              <w:rPr>
                <w:rFonts w:ascii="Arial" w:hAnsi="Arial" w:cs="Arial"/>
              </w:rPr>
              <w:t xml:space="preserve"> de la Línea BT </w:t>
            </w:r>
            <w:proofErr w:type="spellStart"/>
            <w:r>
              <w:rPr>
                <w:rFonts w:ascii="Arial" w:hAnsi="Arial" w:cs="Arial"/>
              </w:rPr>
              <w:t>PowerShift</w:t>
            </w:r>
            <w:proofErr w:type="spellEnd"/>
            <w:r>
              <w:rPr>
                <w:rFonts w:ascii="Arial" w:hAnsi="Arial" w:cs="Arial"/>
              </w:rPr>
              <w:t xml:space="preserve">, un importante avance de nuestra planta local en la producción de equipos más tecnológicos equipados, en este caso, con una transmisión automática </w:t>
            </w:r>
            <w:proofErr w:type="spellStart"/>
            <w:r>
              <w:rPr>
                <w:rFonts w:ascii="Arial" w:hAnsi="Arial" w:cs="Arial"/>
              </w:rPr>
              <w:t>PowerShift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B1AB5" w:rsidRDefault="00CB1AB5" w:rsidP="00CB1AB5">
            <w:pPr>
              <w:spacing w:line="360" w:lineRule="auto"/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primer tractor modelo BT190 es parte de la reconocida Línea BT de alta potencia, que comprende los modelos BT150 (159 HP), BT170 (170 HP), BT190 (200HP) y BT210 (225HP), todos equipados con motores </w:t>
            </w:r>
            <w:r>
              <w:rPr>
                <w:rFonts w:ascii="Arial" w:hAnsi="Arial" w:cs="Arial"/>
                <w:i/>
                <w:iCs/>
              </w:rPr>
              <w:t xml:space="preserve">AGCO </w:t>
            </w:r>
            <w:proofErr w:type="spellStart"/>
            <w:r>
              <w:rPr>
                <w:rFonts w:ascii="Arial" w:hAnsi="Arial" w:cs="Arial"/>
                <w:i/>
                <w:iCs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también producidos en General Rodríguez.</w:t>
            </w:r>
          </w:p>
          <w:p w:rsidR="00CB1AB5" w:rsidRDefault="00CB1AB5" w:rsidP="00CB1AB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>
                  <wp:extent cx="4191000" cy="4743450"/>
                  <wp:effectExtent l="19050" t="0" r="0" b="0"/>
                  <wp:docPr id="2" name="Imagen 3" descr="cid:image006.jpg@01D2E687.EF4C3C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id:image006.jpg@01D2E687.EF4C3C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474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768" w:rsidRDefault="00F72768" w:rsidP="00CB1AB5">
            <w:pPr>
              <w:jc w:val="both"/>
              <w:rPr>
                <w:rFonts w:ascii="Arial" w:hAnsi="Arial" w:cs="Arial"/>
              </w:rPr>
            </w:pPr>
          </w:p>
          <w:p w:rsidR="00F72768" w:rsidRDefault="00F72768" w:rsidP="00CB1AB5">
            <w:pPr>
              <w:jc w:val="both"/>
              <w:rPr>
                <w:rFonts w:ascii="Arial" w:hAnsi="Arial" w:cs="Arial"/>
              </w:rPr>
            </w:pPr>
          </w:p>
          <w:p w:rsidR="00F72768" w:rsidRDefault="00F72768" w:rsidP="00CB1AB5">
            <w:pPr>
              <w:jc w:val="both"/>
              <w:rPr>
                <w:rFonts w:ascii="Arial" w:hAnsi="Arial" w:cs="Arial"/>
              </w:rPr>
            </w:pPr>
          </w:p>
          <w:p w:rsidR="00CB1AB5" w:rsidRPr="00CB1AB5" w:rsidRDefault="00F72768" w:rsidP="00CB1AB5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S</w:t>
            </w:r>
            <w:r w:rsidR="00CB1AB5">
              <w:rPr>
                <w:rFonts w:ascii="Arial" w:hAnsi="Arial" w:cs="Arial"/>
              </w:rPr>
              <w:t>eguimos transitando el camino del trabajo esforzado que nos permite producir equipos robustos y  confiables, que se adaptan a las necesidades únicas y en constante cambio del campo argentino.</w:t>
            </w:r>
          </w:p>
          <w:p w:rsidR="00CB1AB5" w:rsidRDefault="00CB1AB5" w:rsidP="00CB1AB5">
            <w:pPr>
              <w:spacing w:line="360" w:lineRule="auto"/>
              <w:ind w:righ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Continuamos informando las novedades y el crecimiento de nuestra marca </w:t>
            </w:r>
            <w:proofErr w:type="spellStart"/>
            <w:r>
              <w:rPr>
                <w:rFonts w:ascii="Arial" w:hAnsi="Arial" w:cs="Arial"/>
              </w:rPr>
              <w:t>Valtra</w:t>
            </w:r>
            <w:proofErr w:type="spellEnd"/>
            <w:r>
              <w:rPr>
                <w:rFonts w:ascii="Arial" w:hAnsi="Arial" w:cs="Arial"/>
              </w:rPr>
              <w:t xml:space="preserve"> en este 2017.</w:t>
            </w:r>
          </w:p>
          <w:p w:rsidR="00CB1AB5" w:rsidRDefault="00CB1AB5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6753225" cy="3676650"/>
                  <wp:effectExtent l="19050" t="0" r="9525" b="0"/>
                  <wp:docPr id="3" name="Imagen 10" descr="cid:image005.png@01D2B2C1.9624E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cid:image005.png@01D2B2C1.9624EB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225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AB5" w:rsidTr="00EF00A4">
        <w:trPr>
          <w:jc w:val="center"/>
        </w:trPr>
        <w:tc>
          <w:tcPr>
            <w:tcW w:w="10680" w:type="dxa"/>
            <w:gridSpan w:val="3"/>
            <w:shd w:val="clear" w:color="auto" w:fill="FFFFFF"/>
            <w:hideMark/>
          </w:tcPr>
          <w:p w:rsidR="00CB1AB5" w:rsidRDefault="00CB1AB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B1AB5" w:rsidTr="00EF00A4">
        <w:trPr>
          <w:jc w:val="center"/>
        </w:trPr>
        <w:tc>
          <w:tcPr>
            <w:tcW w:w="2160" w:type="dxa"/>
            <w:shd w:val="clear" w:color="auto" w:fill="CFC8C7"/>
            <w:vAlign w:val="center"/>
            <w:hideMark/>
          </w:tcPr>
          <w:p w:rsidR="00CB1AB5" w:rsidRDefault="00CB1AB5">
            <w:pPr>
              <w:ind w:left="284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714375" cy="276225"/>
                  <wp:effectExtent l="19050" t="0" r="9525" b="0"/>
                  <wp:docPr id="4" name="0 Imagen" descr="cid:image001.png@01D2E6AF.D42CD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cid:image001.png@01D2E6AF.D42CD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0" w:type="dxa"/>
            <w:gridSpan w:val="2"/>
            <w:shd w:val="clear" w:color="auto" w:fill="CFC8C7"/>
            <w:vAlign w:val="center"/>
          </w:tcPr>
          <w:p w:rsidR="00CB1AB5" w:rsidRDefault="00CB1AB5">
            <w:pPr>
              <w:ind w:left="284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B1AB5" w:rsidRDefault="00CB1AB5">
            <w:pPr>
              <w:ind w:left="284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Valtra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es una marca mundial de AGCO.</w:t>
            </w:r>
          </w:p>
          <w:p w:rsidR="00CB1AB5" w:rsidRDefault="00CB1AB5">
            <w:pPr>
              <w:ind w:left="284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B1AB5" w:rsidTr="00EF00A4">
        <w:trPr>
          <w:jc w:val="center"/>
        </w:trPr>
        <w:tc>
          <w:tcPr>
            <w:tcW w:w="2160" w:type="dxa"/>
            <w:shd w:val="clear" w:color="auto" w:fill="FFFFFF"/>
            <w:vAlign w:val="center"/>
            <w:hideMark/>
          </w:tcPr>
          <w:p w:rsidR="00CB1AB5" w:rsidRDefault="00CB1AB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427" w:type="dxa"/>
            <w:shd w:val="clear" w:color="auto" w:fill="FFFFFF"/>
            <w:vAlign w:val="center"/>
            <w:hideMark/>
          </w:tcPr>
          <w:p w:rsidR="00CB1AB5" w:rsidRDefault="00CB1AB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93" w:type="dxa"/>
            <w:shd w:val="clear" w:color="auto" w:fill="FFFFFF"/>
            <w:vAlign w:val="center"/>
            <w:hideMark/>
          </w:tcPr>
          <w:p w:rsidR="00CB1AB5" w:rsidRDefault="00CB1AB5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B410FA" w:rsidRDefault="00B410FA"/>
    <w:sectPr w:rsidR="00B410FA" w:rsidSect="00B41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AB5"/>
    <w:rsid w:val="00354391"/>
    <w:rsid w:val="00B410FA"/>
    <w:rsid w:val="00CB1AB5"/>
    <w:rsid w:val="00EF00A4"/>
    <w:rsid w:val="00F7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B5"/>
    <w:pPr>
      <w:spacing w:after="0" w:line="240" w:lineRule="auto"/>
    </w:pPr>
    <w:rPr>
      <w:rFonts w:ascii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1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AB5"/>
    <w:rPr>
      <w:rFonts w:ascii="Tahoma" w:hAnsi="Tahoma" w:cs="Tahoma"/>
      <w:sz w:val="16"/>
      <w:szCs w:val="16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6.jpg@01D2E687.EF4C3C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1.png@01D2E6AF.D42CD960" TargetMode="External"/><Relationship Id="rId5" Type="http://schemas.openxmlformats.org/officeDocument/2006/relationships/image" Target="cid:image002.png@01D19657.142BF00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5.png@01D2B2C1.9624EBC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2017-06-16T18:32:00Z</cp:lastPrinted>
  <dcterms:created xsi:type="dcterms:W3CDTF">2017-06-16T18:19:00Z</dcterms:created>
  <dcterms:modified xsi:type="dcterms:W3CDTF">2017-06-16T18:37:00Z</dcterms:modified>
</cp:coreProperties>
</file>